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DE" w:rsidRPr="004964DE" w:rsidRDefault="004964DE" w:rsidP="00496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4DE">
        <w:rPr>
          <w:rFonts w:ascii="Times New Roman" w:hAnsi="Times New Roman" w:cs="Times New Roman"/>
          <w:b/>
          <w:sz w:val="28"/>
          <w:szCs w:val="28"/>
          <w:lang w:eastAsia="ru-RU"/>
        </w:rPr>
        <w:t>За полгода куряне совершили почти 100 миллионов операций по платежным картам</w:t>
      </w:r>
    </w:p>
    <w:p w:rsidR="004964DE" w:rsidRPr="004964DE" w:rsidRDefault="004964DE" w:rsidP="00496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64DE" w:rsidRPr="004964DE" w:rsidRDefault="004964DE" w:rsidP="00496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6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быть точнее, с использованием платежных карт на территории курского региона в первой половине года совершено 99,7 млн операций на сумму более 140 млрд рублей. Это на 26,6% выше по количеству и почти на 14% больше по объему, чем в том же периоде 2020 года.  Всего же по данным Банка России количество выпущенных в Курской области платежных карт </w:t>
      </w:r>
      <w:r w:rsidRPr="004964DE">
        <w:rPr>
          <w:rFonts w:ascii="Times New Roman" w:hAnsi="Times New Roman" w:cs="Times New Roman"/>
          <w:sz w:val="28"/>
          <w:szCs w:val="28"/>
          <w:lang w:eastAsia="ru-RU"/>
        </w:rPr>
        <w:t>на 1 июля 2021 года</w:t>
      </w:r>
      <w:r w:rsidRPr="00496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превысило 1,9 млн единиц. </w:t>
      </w:r>
    </w:p>
    <w:p w:rsidR="004964DE" w:rsidRPr="004964DE" w:rsidRDefault="004964DE" w:rsidP="004964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6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фоне развития цифровых технологий, сервисов безналичной оплаты и инфраструктуры количество электронных платежей неуклонно растет. Доля таких операций, по сравнению с аналогичным периодом прошлого года, увеличилась на 3,2% и составила более 90% в общем количестве транзакций по картам. Для осуществления операций с использованием платежных карт в регионе задействованы 1 375 банкоматов и более 24 тыс. электронных терминалов.</w:t>
      </w:r>
    </w:p>
    <w:p w:rsidR="004964DE" w:rsidRPr="004964DE" w:rsidRDefault="004964DE" w:rsidP="004964D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64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 этом куряне стали реже снимать наличные с использованием карт, чему способствует развитие Системы быстрых платежей (СБП): «Если раньше держателям карт нужно было снять деньги в банкомате одного банка, чтобы положить их на счет в другой банк, к примеру, для взноса по кредиту и во избежание комиссии, то теперь эту функцию выполняет СБП. Система позволяет оперативно переводить между счетами в разных банках без комиссии до 100 тыс. рублей в месяц», – отметил заместитель управляющего Отделением Курск Банка России Александр Устенко.</w:t>
      </w:r>
    </w:p>
    <w:p w:rsidR="004964DE" w:rsidRPr="004964DE" w:rsidRDefault="004964DE" w:rsidP="004964DE">
      <w:pPr>
        <w:spacing w:after="0" w:line="360" w:lineRule="auto"/>
        <w:ind w:firstLine="709"/>
        <w:jc w:val="center"/>
        <w:rPr>
          <w:rFonts w:ascii="Times New Roman" w:hAnsi="Times New Roman" w:cs="Times New Roman"/>
          <w:strike/>
          <w:color w:val="000000"/>
          <w:sz w:val="28"/>
          <w:szCs w:val="28"/>
          <w:lang w:eastAsia="ru-RU"/>
        </w:rPr>
      </w:pPr>
    </w:p>
    <w:p w:rsidR="004964DE" w:rsidRPr="004964DE" w:rsidRDefault="004964DE" w:rsidP="004964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F1D" w:rsidRPr="00BA06AC" w:rsidRDefault="00B37F1D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37F1D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64DE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5AC012A9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FA47-1E73-418D-BB52-CFE8ADC4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1263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2021-07-29T08:44:00Z</cp:lastPrinted>
  <dcterms:created xsi:type="dcterms:W3CDTF">2021-08-02T05:12:00Z</dcterms:created>
  <dcterms:modified xsi:type="dcterms:W3CDTF">2021-09-29T08:49:00Z</dcterms:modified>
</cp:coreProperties>
</file>